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831"/>
      </w:tblGrid>
      <w:tr w:rsidR="00240E95" w:rsidRPr="00C65454" w:rsidTr="00205C42">
        <w:tc>
          <w:tcPr>
            <w:tcW w:w="4952" w:type="dxa"/>
          </w:tcPr>
          <w:p w:rsidR="00240E95" w:rsidRPr="00C65454" w:rsidRDefault="00240E95" w:rsidP="0020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:rsidR="00240E95" w:rsidRPr="00C65454" w:rsidRDefault="00240E95" w:rsidP="0020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noProof/>
                <w:sz w:val="24"/>
                <w:szCs w:val="24"/>
              </w:rPr>
            </w:pPr>
            <w:r w:rsidRPr="00C65454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 xml:space="preserve"> «УТВЕРЖДЕНО»</w:t>
            </w:r>
          </w:p>
          <w:p w:rsidR="00240E95" w:rsidRPr="00C65454" w:rsidRDefault="00240E95" w:rsidP="0020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noProof/>
                <w:sz w:val="24"/>
                <w:szCs w:val="24"/>
              </w:rPr>
            </w:pPr>
            <w:r w:rsidRPr="00C65454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Общим Собранием Акционеров</w:t>
            </w:r>
          </w:p>
          <w:p w:rsidR="00240E95" w:rsidRPr="00C65454" w:rsidRDefault="00240E95" w:rsidP="0020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noProof/>
                <w:sz w:val="24"/>
                <w:szCs w:val="24"/>
              </w:rPr>
            </w:pPr>
            <w:r w:rsidRPr="00C65454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 xml:space="preserve">АО </w:t>
            </w:r>
            <w:r w:rsidR="00F25A03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«Kattaqo’rg’on yog’ moy»</w:t>
            </w:r>
          </w:p>
          <w:p w:rsidR="00240E95" w:rsidRPr="00F25A03" w:rsidRDefault="00240E95" w:rsidP="00832AD3">
            <w:pPr>
              <w:tabs>
                <w:tab w:val="left" w:pos="11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noProof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«</w:t>
            </w:r>
            <w:r w:rsidR="00832AD3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 xml:space="preserve"> 11 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»</w:t>
            </w:r>
            <w:r w:rsidR="00832AD3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 xml:space="preserve"> декабря </w:t>
            </w:r>
            <w:r w:rsidRPr="00F25A03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201</w:t>
            </w:r>
            <w:r w:rsidRPr="00680281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7 г.</w:t>
            </w:r>
          </w:p>
        </w:tc>
      </w:tr>
    </w:tbl>
    <w:p w:rsidR="00240E95" w:rsidRPr="00F25A03" w:rsidRDefault="00832AD3" w:rsidP="00240E95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noProof/>
          <w:sz w:val="24"/>
          <w:szCs w:val="24"/>
        </w:rPr>
      </w:pPr>
      <w:r>
        <w:rPr>
          <w:rFonts w:ascii="Garamond" w:hAnsi="Garamond"/>
          <w:b/>
          <w:bCs/>
          <w:noProof/>
          <w:sz w:val="24"/>
          <w:szCs w:val="24"/>
        </w:rPr>
        <w:tab/>
      </w:r>
      <w:r>
        <w:rPr>
          <w:rFonts w:ascii="Garamond" w:hAnsi="Garamond"/>
          <w:b/>
          <w:bCs/>
          <w:noProof/>
          <w:sz w:val="24"/>
          <w:szCs w:val="24"/>
        </w:rPr>
        <w:tab/>
      </w:r>
      <w:r>
        <w:rPr>
          <w:rFonts w:ascii="Garamond" w:hAnsi="Garamond"/>
          <w:b/>
          <w:bCs/>
          <w:noProof/>
          <w:sz w:val="24"/>
          <w:szCs w:val="24"/>
        </w:rPr>
        <w:tab/>
      </w:r>
      <w:r>
        <w:rPr>
          <w:rFonts w:ascii="Garamond" w:hAnsi="Garamond"/>
          <w:b/>
          <w:bCs/>
          <w:noProof/>
          <w:sz w:val="24"/>
          <w:szCs w:val="24"/>
        </w:rPr>
        <w:tab/>
      </w:r>
      <w:r>
        <w:rPr>
          <w:rFonts w:ascii="Garamond" w:hAnsi="Garamond"/>
          <w:b/>
          <w:bCs/>
          <w:noProof/>
          <w:sz w:val="24"/>
          <w:szCs w:val="24"/>
        </w:rPr>
        <w:tab/>
      </w:r>
      <w:r>
        <w:rPr>
          <w:rFonts w:ascii="Garamond" w:hAnsi="Garamond"/>
          <w:b/>
          <w:bCs/>
          <w:noProof/>
          <w:sz w:val="24"/>
          <w:szCs w:val="24"/>
        </w:rPr>
        <w:tab/>
      </w:r>
      <w:r>
        <w:rPr>
          <w:rFonts w:ascii="Garamond" w:hAnsi="Garamond"/>
          <w:b/>
          <w:bCs/>
          <w:noProof/>
          <w:sz w:val="24"/>
          <w:szCs w:val="24"/>
        </w:rPr>
        <w:tab/>
      </w:r>
      <w:bookmarkStart w:id="0" w:name="_GoBack"/>
      <w:bookmarkEnd w:id="0"/>
    </w:p>
    <w:p w:rsidR="00240E95" w:rsidRDefault="00240E95" w:rsidP="00240E95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noProof/>
          <w:sz w:val="24"/>
          <w:szCs w:val="24"/>
          <w:lang w:val="en-US"/>
        </w:rPr>
      </w:pPr>
    </w:p>
    <w:p w:rsidR="00E70948" w:rsidRPr="00E70948" w:rsidRDefault="00E70948" w:rsidP="00240E95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noProof/>
          <w:sz w:val="24"/>
          <w:szCs w:val="24"/>
          <w:lang w:val="en-US"/>
        </w:rPr>
      </w:pPr>
    </w:p>
    <w:p w:rsidR="00240E95" w:rsidRPr="00C65454" w:rsidRDefault="00240E95" w:rsidP="00240E9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noProof/>
          <w:sz w:val="24"/>
          <w:szCs w:val="24"/>
        </w:rPr>
      </w:pPr>
      <w:r w:rsidRPr="00C65454">
        <w:rPr>
          <w:rFonts w:ascii="Garamond" w:hAnsi="Garamond"/>
          <w:b/>
          <w:bCs/>
          <w:noProof/>
          <w:sz w:val="24"/>
          <w:szCs w:val="24"/>
        </w:rPr>
        <w:t>ПОЛОЖЕНИЕ</w:t>
      </w:r>
    </w:p>
    <w:p w:rsidR="00240E95" w:rsidRDefault="00240E95" w:rsidP="00240E9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noProof/>
          <w:sz w:val="24"/>
          <w:szCs w:val="24"/>
        </w:rPr>
      </w:pPr>
      <w:r w:rsidRPr="00C65454">
        <w:rPr>
          <w:rFonts w:ascii="Garamond" w:hAnsi="Garamond"/>
          <w:b/>
          <w:bCs/>
          <w:noProof/>
          <w:sz w:val="24"/>
          <w:szCs w:val="24"/>
        </w:rPr>
        <w:t xml:space="preserve">об </w:t>
      </w:r>
      <w:r>
        <w:rPr>
          <w:rFonts w:ascii="Garamond" w:hAnsi="Garamond"/>
          <w:b/>
          <w:bCs/>
          <w:noProof/>
          <w:sz w:val="24"/>
          <w:szCs w:val="24"/>
        </w:rPr>
        <w:t xml:space="preserve">организации и проведении конкурсного отбора </w:t>
      </w:r>
    </w:p>
    <w:p w:rsidR="00240E95" w:rsidRPr="00C65454" w:rsidRDefault="00240E95" w:rsidP="00240E9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noProof/>
          <w:sz w:val="24"/>
          <w:szCs w:val="24"/>
        </w:rPr>
      </w:pPr>
      <w:r>
        <w:rPr>
          <w:rFonts w:ascii="Garamond" w:hAnsi="Garamond"/>
          <w:b/>
          <w:bCs/>
          <w:noProof/>
          <w:sz w:val="24"/>
          <w:szCs w:val="24"/>
        </w:rPr>
        <w:t xml:space="preserve">на занятие должности руководителя исполнительного органа </w:t>
      </w:r>
    </w:p>
    <w:p w:rsidR="00240E95" w:rsidRPr="008936CA" w:rsidRDefault="00240E95" w:rsidP="00240E9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noProof/>
          <w:sz w:val="24"/>
          <w:szCs w:val="24"/>
        </w:rPr>
      </w:pPr>
      <w:r w:rsidRPr="00C65454">
        <w:rPr>
          <w:rFonts w:ascii="Garamond" w:hAnsi="Garamond"/>
          <w:b/>
          <w:bCs/>
          <w:noProof/>
          <w:sz w:val="24"/>
          <w:szCs w:val="24"/>
        </w:rPr>
        <w:t>АО</w:t>
      </w:r>
      <w:r w:rsidR="00E70948" w:rsidRPr="00071914">
        <w:rPr>
          <w:rFonts w:ascii="Garamond" w:hAnsi="Garamond"/>
          <w:b/>
          <w:bCs/>
          <w:noProof/>
          <w:sz w:val="24"/>
          <w:szCs w:val="24"/>
        </w:rPr>
        <w:t xml:space="preserve"> </w:t>
      </w:r>
      <w:r w:rsidR="00F25A03">
        <w:rPr>
          <w:rFonts w:ascii="Garamond" w:hAnsi="Garamond"/>
          <w:b/>
          <w:bCs/>
          <w:noProof/>
          <w:sz w:val="24"/>
          <w:szCs w:val="24"/>
        </w:rPr>
        <w:t>«Kattaqo’rg’on yog’ moy»</w:t>
      </w:r>
    </w:p>
    <w:p w:rsidR="00240E95" w:rsidRPr="008936CA" w:rsidRDefault="00240E95" w:rsidP="00240E9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noProof/>
          <w:sz w:val="24"/>
          <w:szCs w:val="24"/>
        </w:rPr>
      </w:pP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Настоящ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ееПоложение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, в соответствии с Законом Республики Узбекистан «Об акционерных обществах и защите прав акционеров»,Указом Президента Республики Узбекистан от 24.04.2015г. №УП-4720 «О мерах по внедрению современных методов корпоративного управления в акционерных обществах» и иными актами законодательства,  определяет порядок проведения отбора кандидатур в исполнительный орган.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Принципами проведения отбора являются: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прозрачность – обеспечиваемая путем публикации сведений о начале отбора, порядка его проведения, критериях отбора и отобранных кандидатурах;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регулярность – обеспечиваемая путем проведения отбора с установленной периодичностью, предусмотренной для направления предложений по исполнительному органу, согласно Закону Республики Узбекистан «Об акционерных обществах и защите прав акционеров»;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состязательность – обеспечиваемая путем оценивания квалификационных и профессиональных качеств кандидатур согласно критериям, установленным настоящим 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Положением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b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b/>
          <w:noProof/>
          <w:sz w:val="24"/>
          <w:szCs w:val="24"/>
        </w:rPr>
        <w:t>I. Общие положения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1. Отбор кандидатур в исполнительный орган АО (далее – отбор) проводится наблюдательным советом АО (далее – НС).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2. Отбор проводится на основе поступивших предложений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br/>
        <w:t>по кандидатурам.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3. Кандидатурами могут выступать квалифицированные работники министерств и ведомств республики, 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 xml:space="preserve">уководящие работники общества, 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а также иные лица, в том числе иностранные менеджеры, имеющие необходимую квалификацию и опыт работы в соответствующей сфере (далее – кандидатуры).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4. Предложения по кандидатурам могут вноситься соискателями, министерствами, ведомствами, акционерами и иными лицами, уполномоченными в соответствии с законодательством вносить предложения по кандидатурам в исполнительный орган АО (далее – инициаторы).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5. Сроки отбора должны учитывать период времени, отводимый для направления предложений в АО по исполнительному органу, согласно Закону Республики Узбекистан «Об акционерных обществах и защите прав акционеров».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6. Для проведения отбора НС 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 xml:space="preserve">может привлеч 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представителей заинтересованных министерств и ведомств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, местных органов власти и специалистов отрасли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7. Решения 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 xml:space="preserve">НС 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принимаются на заседаниях и оформляются протоколом.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8. Председатель НС определяет ответственное подразделение АО, которое выполняет функции рабочего органа 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при проведении конкурсного отбоора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b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b/>
          <w:noProof/>
          <w:sz w:val="24"/>
          <w:szCs w:val="24"/>
        </w:rPr>
        <w:t>II. Подготовка к отбору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9. Инициаторы, в течение 15 дней после объявления конкурса (если иной срок не указан в объявлении) представляют сведения о кандидатурах согласно приложению к настоящему Регламенту.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10. Кандидатурой не могут быть лица, которые: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lastRenderedPageBreak/>
        <w:t>не имеют высшего образования по соответствующей специальности;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не имеют, как минимум, трехлетнего стажа работы в соответствующей сфере;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исполняли функции единоличного исполнительного органа, входили в состав коллегиального исполнительного органа или являлись учредителями юридического лица в момент прекращения действия лицензий на осуществление указанной деятельности за нарушения лицензионных требований и условий, допущенных по вине этих лиц, если с момента такого прекращения прошло менее трех лет;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имеют непогашенную судимость за преступления в сфере экономики или за преступления против порядка управления;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исполняли функции единоличного исполнительного органа или входили в состав коллегиального исполнительного органа юридического лица в момент, когда такое лицо было признано банкротом и с момента признания не истекло два года;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находящееся в отношениях родства или свойства с другим членом наблюдательного совета или руководителем АО.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11. Инициаторы обеспечивают достоверность, актуальность и соответствие действительности представленных в АО сведений о кандидатурах.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b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b/>
          <w:noProof/>
          <w:sz w:val="24"/>
          <w:szCs w:val="24"/>
        </w:rPr>
        <w:t>III. Проведение отбора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12. Поступившие к установленному сроку сведения о кандидатурах обобщаются на основе баллов, присваиваемых кандидатуре по каждому из критериев, перечисленных в приложении к настоящему 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Положению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13.Отбор наилучшей кандидатуры производится: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вне конкурса – по лицам, выдвигаемым в исполнительный орган на основании решений Президента Республики Узбекистан, Кабинета Министров Республики Узбекистан или Комиссии по повышению эффективности деятельности акционерных обществ и совершенствованию системы корпоративного управления, образованной постановлением Президента Республики Узбекистан от 31 марта 2015 года №ПП-2327;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по наибольш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им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 итогов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ым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 балл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ам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, присвоенн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ым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 кандидатуре согласно критериям, указанным в приложении к настоящему 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Положению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;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при отсутствии предложений по кандидатурам – определяются 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и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з числа работников орган</w:t>
      </w:r>
      <w:r w:rsidR="00240E95">
        <w:rPr>
          <w:rFonts w:ascii="Garamond" w:eastAsia="Calibri" w:hAnsi="Garamond" w:cs="Times New Roman"/>
          <w:noProof/>
          <w:sz w:val="24"/>
          <w:szCs w:val="24"/>
        </w:rPr>
        <w:t>а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 хозяйственного управления, в структуру которого входит данное АО</w:t>
      </w:r>
      <w:r w:rsidR="00C46BBF">
        <w:rPr>
          <w:rFonts w:ascii="Garamond" w:eastAsia="Calibri" w:hAnsi="Garamond" w:cs="Times New Roman"/>
          <w:noProof/>
          <w:sz w:val="24"/>
          <w:szCs w:val="24"/>
        </w:rPr>
        <w:t>, по  представлению органа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14. НС вносит на рассмотрение общего собрания акционеров предложения по наилучшей кандидатуре в порядке и сроки, установленные законодательством, уставом и внутренними документами данного АО.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15. Инициаторы обязаны безотлагательно сообщить в НС о возникновении обстоятельств, влекущих необходимость замены кандидатуры.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16. В случае, если в отношении кандидатуры возникли обстоятельства, влекущие необходимость ее замены, НС: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определяет кандидатурой лицо, ранее участвовавшее в отборе и набравшее следующий наилучший итоговый балл, либо признанное таковым в порядке, установленном настоящим </w:t>
      </w:r>
      <w:r w:rsidR="00C46BBF">
        <w:rPr>
          <w:rFonts w:ascii="Garamond" w:eastAsia="Calibri" w:hAnsi="Garamond" w:cs="Times New Roman"/>
          <w:noProof/>
          <w:sz w:val="24"/>
          <w:szCs w:val="24"/>
        </w:rPr>
        <w:t>Положением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;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при отсутствии ранее участвовавших в отборе лиц либо невозможности их избрания</w:t>
      </w:r>
      <w:r w:rsidR="00C46BBF">
        <w:rPr>
          <w:rFonts w:ascii="Garamond" w:eastAsia="Calibri" w:hAnsi="Garamond" w:cs="Times New Roman"/>
          <w:noProof/>
          <w:sz w:val="24"/>
          <w:szCs w:val="24"/>
        </w:rPr>
        <w:t>,</w:t>
      </w:r>
      <w:r w:rsidR="00C46BBF">
        <w:rPr>
          <w:rFonts w:ascii="Garamond" w:eastAsia="Calibri" w:hAnsi="Garamond" w:cs="Times New Roman"/>
          <w:noProof/>
          <w:sz w:val="24"/>
          <w:szCs w:val="24"/>
        </w:rPr>
        <w:br/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в состав исполнительного органа данного АО назначает из числа работников органов хозяйственного управления,в структуру которого входит данное АО.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17. НС вправе отклонить кандидатуру, если результаты деятельности данного лица в органах управления и контроля </w:t>
      </w:r>
      <w:r w:rsidR="00C46BBF">
        <w:rPr>
          <w:rFonts w:ascii="Garamond" w:eastAsia="Calibri" w:hAnsi="Garamond" w:cs="Times New Roman"/>
          <w:noProof/>
          <w:sz w:val="24"/>
          <w:szCs w:val="24"/>
        </w:rPr>
        <w:t xml:space="preserve">другого 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хозяйственного общества, в установленном порядке признаны неудовлетворительными.</w:t>
      </w:r>
    </w:p>
    <w:p w:rsidR="00DA42C1" w:rsidRPr="00C46BBF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b/>
          <w:noProof/>
          <w:sz w:val="24"/>
          <w:szCs w:val="24"/>
        </w:rPr>
      </w:pPr>
      <w:r w:rsidRPr="00C46BBF">
        <w:rPr>
          <w:rFonts w:ascii="Garamond" w:eastAsia="Calibri" w:hAnsi="Garamond" w:cs="Times New Roman"/>
          <w:b/>
          <w:noProof/>
          <w:sz w:val="24"/>
          <w:szCs w:val="24"/>
        </w:rPr>
        <w:t>IV. Заключительные положения</w:t>
      </w: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18. Лица, виновные в нарушении требований настоящего </w:t>
      </w:r>
      <w:r w:rsidR="00C46BBF">
        <w:rPr>
          <w:rFonts w:ascii="Garamond" w:eastAsia="Calibri" w:hAnsi="Garamond" w:cs="Times New Roman"/>
          <w:noProof/>
          <w:sz w:val="24"/>
          <w:szCs w:val="24"/>
        </w:rPr>
        <w:t>Положения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>, несут ответственность в порядке, установленном законодательством.</w:t>
      </w:r>
    </w:p>
    <w:p w:rsidR="00DA42C1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19. Контроль за соблюдением требований настоящего </w:t>
      </w:r>
      <w:r w:rsidR="00C46BBF">
        <w:rPr>
          <w:rFonts w:ascii="Garamond" w:eastAsia="Calibri" w:hAnsi="Garamond" w:cs="Times New Roman"/>
          <w:noProof/>
          <w:sz w:val="24"/>
          <w:szCs w:val="24"/>
        </w:rPr>
        <w:t>Положения</w:t>
      </w:r>
      <w:r w:rsidRPr="00240E95">
        <w:rPr>
          <w:rFonts w:ascii="Garamond" w:eastAsia="Calibri" w:hAnsi="Garamond" w:cs="Times New Roman"/>
          <w:noProof/>
          <w:sz w:val="24"/>
          <w:szCs w:val="24"/>
        </w:rPr>
        <w:t xml:space="preserve"> осуществляет НС АО.</w:t>
      </w:r>
    </w:p>
    <w:p w:rsidR="007C29FC" w:rsidRDefault="007C29FC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</w:p>
    <w:p w:rsidR="007C29FC" w:rsidRDefault="007C29FC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</w:p>
    <w:p w:rsidR="007C29FC" w:rsidRDefault="007C29FC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</w:p>
    <w:p w:rsidR="007C29FC" w:rsidRPr="003F5004" w:rsidRDefault="007C29FC" w:rsidP="007C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F50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ФИО кандидатуры:_________________________________</w:t>
      </w:r>
    </w:p>
    <w:p w:rsidR="007C29FC" w:rsidRPr="003F5004" w:rsidRDefault="007C29FC" w:rsidP="007C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11" w:type="dxa"/>
        <w:jc w:val="center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761"/>
        <w:gridCol w:w="1600"/>
        <w:gridCol w:w="1230"/>
      </w:tblGrid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ОЦЕНИВАЕМЫЕ КРИТЕРИИ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Максимальный балл за соответствие критерию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у кандидата (да / нет)</w:t>
            </w:r>
          </w:p>
        </w:tc>
      </w:tr>
      <w:tr w:rsidR="007C29FC" w:rsidRPr="003F5004" w:rsidTr="00B65BF2">
        <w:trPr>
          <w:jc w:val="center"/>
        </w:trPr>
        <w:tc>
          <w:tcPr>
            <w:tcW w:w="10111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 ОБРАЗОВАНИЕ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диплома бакалавра в соответствующей специальности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диплома магистра об окончании Академии государственного управления, Банковско-финансовой академии или Налоговой академии.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диплома магистра о получении зарубежного высшего образования по соответствующей специальности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  <w:proofErr w:type="gramEnd"/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(кроме перечисленных в пунктах 1-3) диплома о высшем образовании по соответствующей  специальности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не менее 2 публикаций в год по проблемам отрасли, в которую входит АО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ученой степени доктора экономических наук или доктора юридических наук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защищенной кандидатской или докторской диссертации по проблемам отрасли, в которую входит АО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документа о соответствии квалификационным требованиям специалиста рынка ценных бумаг, аудитора, страховщика, оценщика, судебного управляющего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полученного в текущем или предыдущем году свидетельства о повышении квалификации или переподготовке по любому из направлений, указанных в пункте 1 либо в рамках квалификационных требований к судебным управляющим, аудиторам, страховщикам, специалистам рынка ценных бумаг, налоговым консультантам, судебным управляющим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10111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ОПЫТ РАБОТЫ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9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на руководящих должностях по решению Президента или Кабинета Министров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одного года (включительно)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одного года до 3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от 3 до 5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9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  в государственных организациях, хозяйственных обществах с долей государства на должностях административно-управленческого персонала (кроме периода занятия руководящих должностей, указанных в пункте 10)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одного года (включительно)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одного года до 3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от 3 до 5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9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на руководящих должностях (директор, заместитель директора, менеджер, супервайзер) не менее одного года в зарубежных странах или практического опыта решения вопросов в зарубежных юрисдикциях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одного года (включительно)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одного года до 3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от 3 до 5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9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в иных организациях на руководящих должностях организаций (в должности руководителя, заместителя руководителя, главного бухгалтера, руководителя юридической службы организации, руководителя представительства или филиала)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одного года (включительно)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одного года до 3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от 3 до 5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9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стажа работы не менее одного года на должностях административно-управленческого персонала в организациях соответствующей отрасли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одного года (включительно)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одного года до 3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от 3 до 5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9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не менее одного года в качестве члена наблюдательного совета, ревизионной комиссии или сотрудника службы внутреннего аудита хозяйственных обществ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одного года (включительно)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одного года до 3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от 3 до 5 лет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5 лет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9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осуществления в течение текущего или предыдущего учебного года преподавательской деятельности в высших учебных заведениях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объеме до 100 академических часов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объеме от 100 до 500 академических часов включительно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объеме более 500 академических часов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не менее одного года в качестве сотрудника государственного контролирующего органа, судьи, депутата Законодательной палаты или сенатора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не менее одного года в качестве судебного управляющего, аудитора, страховщика, специалиста рынка ценных бумаг, налогового консультанта, судебного управляющего, либо в уполномоченных государственных организациях, осуществляющих регулирование данной деятельности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10111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ПРОЧИЕ КРИТЕРИИ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кандидата государственных наград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кандидата общепризнанных международных статусов в области экономики, финансов, юриспруденции, признаваемых законодательством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кандидатом не менее двух зарубежных стажировок в области экономики, финансов, юриспруденции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письма от Кабинета Министров (его Департамента) или созданной при нем государственной комиссии о целесообразности выдвижения кандидата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письма от иного государственного органа или созданной при нем государственной комиссии о целесообразности выдвижения кандидата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trHeight w:val="624"/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кандидата не менее двух почетных грамот (почетных дипломов) выданных государственными организациями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29FC" w:rsidRPr="003F5004" w:rsidTr="00B65BF2">
        <w:trPr>
          <w:trHeight w:val="552"/>
          <w:jc w:val="center"/>
        </w:trPr>
        <w:tc>
          <w:tcPr>
            <w:tcW w:w="5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действенной программы развития общества</w:t>
            </w:r>
          </w:p>
        </w:tc>
        <w:tc>
          <w:tcPr>
            <w:tcW w:w="1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7C29FC" w:rsidRPr="003F5004" w:rsidRDefault="007C29FC" w:rsidP="00B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29FC" w:rsidRPr="003F5004" w:rsidRDefault="007C29FC" w:rsidP="007C2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0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C29FC" w:rsidRPr="00240E95" w:rsidRDefault="007C29FC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</w:p>
    <w:p w:rsidR="00DA42C1" w:rsidRPr="00240E95" w:rsidRDefault="00DA42C1" w:rsidP="00240E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240E95">
        <w:rPr>
          <w:rFonts w:ascii="Garamond" w:eastAsia="Calibri" w:hAnsi="Garamond" w:cs="Times New Roman"/>
          <w:noProof/>
          <w:sz w:val="24"/>
          <w:szCs w:val="24"/>
        </w:rPr>
        <w:t> </w:t>
      </w:r>
    </w:p>
    <w:sectPr w:rsidR="00DA42C1" w:rsidRPr="00240E95" w:rsidSect="0046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23638"/>
    <w:multiLevelType w:val="multilevel"/>
    <w:tmpl w:val="5E78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F60C9"/>
    <w:multiLevelType w:val="multilevel"/>
    <w:tmpl w:val="79CC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F30A4"/>
    <w:multiLevelType w:val="multilevel"/>
    <w:tmpl w:val="914A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7443A"/>
    <w:multiLevelType w:val="multilevel"/>
    <w:tmpl w:val="4484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14519"/>
    <w:multiLevelType w:val="multilevel"/>
    <w:tmpl w:val="4180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2C1"/>
    <w:rsid w:val="00071914"/>
    <w:rsid w:val="000973EE"/>
    <w:rsid w:val="00127EF2"/>
    <w:rsid w:val="00193916"/>
    <w:rsid w:val="00240E95"/>
    <w:rsid w:val="002A305D"/>
    <w:rsid w:val="003C2DA3"/>
    <w:rsid w:val="00462F76"/>
    <w:rsid w:val="007C29FC"/>
    <w:rsid w:val="00832AD3"/>
    <w:rsid w:val="009A3776"/>
    <w:rsid w:val="00BE0A83"/>
    <w:rsid w:val="00C46BBF"/>
    <w:rsid w:val="00DA42C1"/>
    <w:rsid w:val="00E70948"/>
    <w:rsid w:val="00F16BE4"/>
    <w:rsid w:val="00F25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04E9E-1832-4F29-8C29-708FA4C2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76"/>
  </w:style>
  <w:style w:type="paragraph" w:styleId="2">
    <w:name w:val="heading 2"/>
    <w:basedOn w:val="a"/>
    <w:link w:val="20"/>
    <w:uiPriority w:val="9"/>
    <w:qFormat/>
    <w:rsid w:val="00DA4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4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4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4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DA42C1"/>
    <w:rPr>
      <w:i/>
      <w:iCs/>
    </w:rPr>
  </w:style>
  <w:style w:type="paragraph" w:styleId="a4">
    <w:name w:val="Normal (Web)"/>
    <w:basedOn w:val="a"/>
    <w:uiPriority w:val="99"/>
    <w:unhideWhenUsed/>
    <w:rsid w:val="00DA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4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Татьяна</dc:creator>
  <cp:lastModifiedBy>macho</cp:lastModifiedBy>
  <cp:revision>11</cp:revision>
  <cp:lastPrinted>2018-01-24T10:25:00Z</cp:lastPrinted>
  <dcterms:created xsi:type="dcterms:W3CDTF">2017-11-24T13:50:00Z</dcterms:created>
  <dcterms:modified xsi:type="dcterms:W3CDTF">2018-01-30T12:27:00Z</dcterms:modified>
</cp:coreProperties>
</file>